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0A0" w:rsidRDefault="003240A0">
      <w:pPr>
        <w:spacing w:after="0" w:line="240" w:lineRule="auto"/>
        <w:rPr>
          <w:b/>
          <w:sz w:val="24"/>
          <w:szCs w:val="24"/>
        </w:rPr>
      </w:pPr>
    </w:p>
    <w:p w:rsidR="003240A0" w:rsidRDefault="0067090F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Italia non profit lancia il “passaporto digitale”: </w:t>
      </w:r>
    </w:p>
    <w:p w:rsidR="00C165C8" w:rsidRDefault="0067090F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l'identità digitale che permette agli enti di sfruttare </w:t>
      </w:r>
    </w:p>
    <w:p w:rsidR="003240A0" w:rsidRDefault="0067090F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opportunità di ricerca e di raccolta fondi</w:t>
      </w:r>
    </w:p>
    <w:p w:rsidR="000E20DE" w:rsidRDefault="000E20DE">
      <w:pPr>
        <w:spacing w:after="0" w:line="240" w:lineRule="auto"/>
        <w:jc w:val="center"/>
        <w:rPr>
          <w:b/>
          <w:sz w:val="26"/>
          <w:szCs w:val="26"/>
        </w:rPr>
      </w:pPr>
    </w:p>
    <w:p w:rsidR="000E20DE" w:rsidRDefault="000E20DE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Passaporto Digitale: </w:t>
      </w:r>
      <w:hyperlink r:id="rId7" w:history="1">
        <w:r w:rsidRPr="000857C6">
          <w:rPr>
            <w:rStyle w:val="Collegamentoipertestuale"/>
            <w:b/>
            <w:sz w:val="26"/>
            <w:szCs w:val="26"/>
          </w:rPr>
          <w:t>https://italianonprofit.it/passaporto-digitale/</w:t>
        </w:r>
      </w:hyperlink>
    </w:p>
    <w:p w:rsidR="000E20DE" w:rsidRDefault="000E20DE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Orientamento per la Filantropia: </w:t>
      </w:r>
      <w:hyperlink r:id="rId8" w:history="1">
        <w:r w:rsidRPr="000857C6">
          <w:rPr>
            <w:rStyle w:val="Collegamentoipertestuale"/>
            <w:b/>
            <w:sz w:val="26"/>
            <w:szCs w:val="26"/>
          </w:rPr>
          <w:t>https://italianonprofit.it/servizi/filantropia/</w:t>
        </w:r>
      </w:hyperlink>
      <w:r>
        <w:rPr>
          <w:b/>
          <w:sz w:val="26"/>
          <w:szCs w:val="26"/>
        </w:rPr>
        <w:t xml:space="preserve"> </w:t>
      </w:r>
    </w:p>
    <w:p w:rsidR="003240A0" w:rsidRDefault="003240A0">
      <w:pPr>
        <w:spacing w:after="0" w:line="240" w:lineRule="auto"/>
        <w:jc w:val="center"/>
        <w:rPr>
          <w:b/>
          <w:sz w:val="21"/>
          <w:szCs w:val="21"/>
        </w:rPr>
      </w:pPr>
    </w:p>
    <w:p w:rsidR="003240A0" w:rsidRDefault="0067090F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Milano, 9 ottobre 2018 – Grazie a Italia non profit da oggi le organizzazioni del Terzo Settore potranno sfruttare tutte le opportunità offerte dalla rivoluzione digitale attivando gratuitamente il proprio </w:t>
      </w:r>
      <w:r>
        <w:rPr>
          <w:b/>
          <w:sz w:val="21"/>
          <w:szCs w:val="21"/>
        </w:rPr>
        <w:t>“passaporto digitale”</w:t>
      </w:r>
      <w:r w:rsidR="000E20DE">
        <w:rPr>
          <w:b/>
          <w:sz w:val="21"/>
          <w:szCs w:val="21"/>
        </w:rPr>
        <w:t xml:space="preserve"> (</w:t>
      </w:r>
      <w:hyperlink r:id="rId9" w:history="1">
        <w:r w:rsidR="000E20DE" w:rsidRPr="000857C6">
          <w:rPr>
            <w:rStyle w:val="Collegamentoipertestuale"/>
            <w:b/>
            <w:sz w:val="21"/>
            <w:szCs w:val="21"/>
          </w:rPr>
          <w:t>https://italianonprofit.it/passaporto-digitale/</w:t>
        </w:r>
      </w:hyperlink>
      <w:r w:rsidR="000E20DE">
        <w:rPr>
          <w:b/>
          <w:sz w:val="21"/>
          <w:szCs w:val="21"/>
        </w:rPr>
        <w:t>).</w:t>
      </w:r>
    </w:p>
    <w:p w:rsidR="003240A0" w:rsidRDefault="0067090F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Iscrivendosi alla piattaforma, le organizzazioni non solo avranno una </w:t>
      </w:r>
      <w:r>
        <w:rPr>
          <w:b/>
          <w:sz w:val="21"/>
          <w:szCs w:val="21"/>
        </w:rPr>
        <w:t>pagina dedicata</w:t>
      </w:r>
      <w:r>
        <w:rPr>
          <w:sz w:val="21"/>
          <w:szCs w:val="21"/>
        </w:rPr>
        <w:t xml:space="preserve"> che li rappresenta e parla delle loro attività e del loro ciclo di vita, ma anche - sempre gratuitamente - l’</w:t>
      </w:r>
      <w:r>
        <w:rPr>
          <w:b/>
          <w:sz w:val="21"/>
          <w:szCs w:val="21"/>
        </w:rPr>
        <w:t>apertura a diverse possibilità</w:t>
      </w:r>
      <w:r>
        <w:rPr>
          <w:sz w:val="21"/>
          <w:szCs w:val="21"/>
        </w:rPr>
        <w:t xml:space="preserve">. Inserendo le informazioni di base e strutturali dell’ente, sarà possibile partecipare a </w:t>
      </w:r>
      <w:r>
        <w:rPr>
          <w:b/>
          <w:sz w:val="21"/>
          <w:szCs w:val="21"/>
        </w:rPr>
        <w:t>bandi</w:t>
      </w:r>
      <w:r>
        <w:rPr>
          <w:sz w:val="21"/>
          <w:szCs w:val="21"/>
        </w:rPr>
        <w:t xml:space="preserve">, </w:t>
      </w:r>
      <w:proofErr w:type="spellStart"/>
      <w:r>
        <w:rPr>
          <w:b/>
          <w:sz w:val="21"/>
          <w:szCs w:val="21"/>
        </w:rPr>
        <w:t>survey</w:t>
      </w:r>
      <w:proofErr w:type="spellEnd"/>
      <w:r>
        <w:rPr>
          <w:sz w:val="21"/>
          <w:szCs w:val="21"/>
        </w:rPr>
        <w:t xml:space="preserve">, trovare nuovi </w:t>
      </w:r>
      <w:r>
        <w:rPr>
          <w:b/>
          <w:sz w:val="21"/>
          <w:szCs w:val="21"/>
        </w:rPr>
        <w:t>partner</w:t>
      </w:r>
      <w:r>
        <w:rPr>
          <w:sz w:val="21"/>
          <w:szCs w:val="21"/>
        </w:rPr>
        <w:t xml:space="preserve">, integrare i propri dati sulle </w:t>
      </w:r>
      <w:r>
        <w:rPr>
          <w:b/>
          <w:sz w:val="21"/>
          <w:szCs w:val="21"/>
        </w:rPr>
        <w:t xml:space="preserve">piattaforme di </w:t>
      </w:r>
      <w:proofErr w:type="spellStart"/>
      <w:r>
        <w:rPr>
          <w:b/>
          <w:sz w:val="21"/>
          <w:szCs w:val="21"/>
        </w:rPr>
        <w:t>crowdfunding</w:t>
      </w:r>
      <w:proofErr w:type="spellEnd"/>
      <w:r>
        <w:rPr>
          <w:sz w:val="21"/>
          <w:szCs w:val="21"/>
        </w:rPr>
        <w:t xml:space="preserve">. Tutto questo nella logica di razionalizzare il tempo e le energie degli enti per permettergli di concentrarsi sulla </w:t>
      </w:r>
      <w:proofErr w:type="spellStart"/>
      <w:r>
        <w:rPr>
          <w:i/>
          <w:sz w:val="21"/>
          <w:szCs w:val="21"/>
        </w:rPr>
        <w:t>mission</w:t>
      </w:r>
      <w:proofErr w:type="spellEnd"/>
      <w:r>
        <w:rPr>
          <w:sz w:val="21"/>
          <w:szCs w:val="21"/>
        </w:rPr>
        <w:t>, sulle attività, sui progetti (con 8 minuti di registrazione a Italia non profit, gli enti si troveranno le informazioni di base sempre disponibili per accedere alle diverse opportunità).</w:t>
      </w:r>
    </w:p>
    <w:p w:rsidR="003240A0" w:rsidRDefault="0067090F">
      <w:pPr>
        <w:jc w:val="both"/>
        <w:rPr>
          <w:sz w:val="21"/>
          <w:szCs w:val="21"/>
        </w:rPr>
      </w:pPr>
      <w:r>
        <w:rPr>
          <w:i/>
          <w:sz w:val="21"/>
          <w:szCs w:val="21"/>
        </w:rPr>
        <w:t xml:space="preserve">“Italia non profit - </w:t>
      </w:r>
      <w:r>
        <w:rPr>
          <w:sz w:val="21"/>
          <w:szCs w:val="21"/>
        </w:rPr>
        <w:t xml:space="preserve">afferma Giulia Frangione, amministratore unico della società </w:t>
      </w:r>
      <w:r>
        <w:rPr>
          <w:i/>
          <w:sz w:val="21"/>
          <w:szCs w:val="21"/>
        </w:rPr>
        <w:t>- coglie la sfida delle due trasformazioni, digitale e normativa, che il Terzo Settore deve affrontare, fornendo agli enti strumenti utili per gestire il cambiamento. Si tratta di una sfida che ci vede, ancora una volta, alleati della filantropia istituzionale e delle organizzazioni che ricercano risorse”.</w:t>
      </w:r>
    </w:p>
    <w:p w:rsidR="003240A0" w:rsidRDefault="0067090F">
      <w:pPr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I benefici del “passaporto digitale” </w:t>
      </w:r>
      <w:r>
        <w:rPr>
          <w:sz w:val="21"/>
          <w:szCs w:val="21"/>
        </w:rPr>
        <w:t xml:space="preserve">toccano tutti gli attori dell’ecosistema in diversi campi di applicazione: </w:t>
      </w:r>
    </w:p>
    <w:p w:rsidR="003240A0" w:rsidRDefault="0067090F">
      <w:pPr>
        <w:numPr>
          <w:ilvl w:val="0"/>
          <w:numId w:val="2"/>
        </w:numPr>
        <w:spacing w:after="0" w:line="240" w:lineRule="auto"/>
        <w:ind w:left="714" w:hanging="357"/>
        <w:jc w:val="both"/>
      </w:pPr>
      <w:r>
        <w:rPr>
          <w:sz w:val="21"/>
          <w:szCs w:val="21"/>
        </w:rPr>
        <w:t xml:space="preserve">dal </w:t>
      </w:r>
      <w:r>
        <w:rPr>
          <w:b/>
          <w:sz w:val="21"/>
          <w:szCs w:val="21"/>
        </w:rPr>
        <w:t>posizionamento sui motori di ricerca</w:t>
      </w:r>
      <w:r>
        <w:rPr>
          <w:sz w:val="21"/>
          <w:szCs w:val="21"/>
        </w:rPr>
        <w:t xml:space="preserve"> (per farsi trovare più facilmente da cittadini, beneficiari e donatori) </w:t>
      </w:r>
    </w:p>
    <w:p w:rsidR="003240A0" w:rsidRDefault="0067090F">
      <w:pPr>
        <w:numPr>
          <w:ilvl w:val="0"/>
          <w:numId w:val="2"/>
        </w:numPr>
        <w:spacing w:after="0" w:line="240" w:lineRule="auto"/>
        <w:ind w:left="714" w:hanging="357"/>
        <w:jc w:val="both"/>
      </w:pPr>
      <w:r>
        <w:rPr>
          <w:sz w:val="21"/>
          <w:szCs w:val="21"/>
        </w:rPr>
        <w:t xml:space="preserve">alla standardizzazione di informazioni come richieste dalla </w:t>
      </w:r>
      <w:r>
        <w:rPr>
          <w:b/>
          <w:sz w:val="21"/>
          <w:szCs w:val="21"/>
        </w:rPr>
        <w:t>Riforma del Terzo Settore</w:t>
      </w:r>
      <w:r>
        <w:rPr>
          <w:sz w:val="21"/>
          <w:szCs w:val="21"/>
        </w:rPr>
        <w:t xml:space="preserve"> </w:t>
      </w:r>
    </w:p>
    <w:p w:rsidR="003240A0" w:rsidRDefault="0067090F">
      <w:pPr>
        <w:numPr>
          <w:ilvl w:val="0"/>
          <w:numId w:val="2"/>
        </w:numPr>
        <w:spacing w:after="0" w:line="240" w:lineRule="auto"/>
        <w:ind w:left="714" w:hanging="357"/>
        <w:jc w:val="both"/>
      </w:pPr>
      <w:r>
        <w:rPr>
          <w:sz w:val="21"/>
          <w:szCs w:val="21"/>
        </w:rPr>
        <w:t xml:space="preserve">all’assolvimento di </w:t>
      </w:r>
      <w:r>
        <w:rPr>
          <w:b/>
          <w:sz w:val="21"/>
          <w:szCs w:val="21"/>
        </w:rPr>
        <w:t>adempimenti amministrativi e burocratici</w:t>
      </w:r>
      <w:r>
        <w:rPr>
          <w:sz w:val="21"/>
          <w:szCs w:val="21"/>
        </w:rPr>
        <w:t xml:space="preserve"> </w:t>
      </w:r>
    </w:p>
    <w:p w:rsidR="003240A0" w:rsidRDefault="0067090F">
      <w:pPr>
        <w:numPr>
          <w:ilvl w:val="0"/>
          <w:numId w:val="2"/>
        </w:numPr>
        <w:jc w:val="both"/>
      </w:pPr>
      <w:r>
        <w:rPr>
          <w:sz w:val="21"/>
          <w:szCs w:val="21"/>
        </w:rPr>
        <w:t xml:space="preserve">fino alla </w:t>
      </w:r>
      <w:r>
        <w:rPr>
          <w:b/>
          <w:sz w:val="21"/>
          <w:szCs w:val="21"/>
        </w:rPr>
        <w:t xml:space="preserve">partecipazione ai bandi </w:t>
      </w:r>
      <w:r>
        <w:rPr>
          <w:sz w:val="21"/>
          <w:szCs w:val="21"/>
        </w:rPr>
        <w:t xml:space="preserve">promossi dalle fondazioni  </w:t>
      </w:r>
    </w:p>
    <w:p w:rsidR="003240A0" w:rsidRDefault="0067090F">
      <w:pPr>
        <w:jc w:val="both"/>
        <w:rPr>
          <w:sz w:val="21"/>
          <w:szCs w:val="21"/>
          <w:highlight w:val="yellow"/>
        </w:rPr>
      </w:pPr>
      <w:r>
        <w:rPr>
          <w:sz w:val="21"/>
          <w:szCs w:val="21"/>
        </w:rPr>
        <w:t xml:space="preserve">Un recente studio divulgato da </w:t>
      </w:r>
      <w:proofErr w:type="spellStart"/>
      <w:r>
        <w:rPr>
          <w:b/>
          <w:sz w:val="21"/>
          <w:szCs w:val="21"/>
        </w:rPr>
        <w:t>GuideStar</w:t>
      </w:r>
      <w:proofErr w:type="spellEnd"/>
      <w:r>
        <w:rPr>
          <w:b/>
          <w:sz w:val="21"/>
          <w:szCs w:val="21"/>
        </w:rPr>
        <w:t xml:space="preserve"> Usa</w:t>
      </w:r>
      <w:r w:rsidR="00DA28EB">
        <w:rPr>
          <w:sz w:val="21"/>
          <w:szCs w:val="21"/>
        </w:rPr>
        <w:t xml:space="preserve"> -</w:t>
      </w:r>
      <w:r>
        <w:rPr>
          <w:sz w:val="21"/>
          <w:szCs w:val="21"/>
        </w:rPr>
        <w:t xml:space="preserve"> piattaforma statunitense dedicata alle non profit di cui siamo partner esclusivo per l’Italia</w:t>
      </w:r>
      <w:r w:rsidR="00DA28EB">
        <w:rPr>
          <w:sz w:val="21"/>
          <w:szCs w:val="21"/>
        </w:rPr>
        <w:t xml:space="preserve"> - </w:t>
      </w:r>
      <w:r>
        <w:rPr>
          <w:sz w:val="21"/>
          <w:szCs w:val="21"/>
        </w:rPr>
        <w:t xml:space="preserve">e realizzato da Foundation Center quantifica il dispendio di tempo, energie e risorse che gli enti si trovano ad affrontare quando devono partecipare ai bandi: il 40% delle organizzazioni intervistate impiega tra le 5 e le 10 ore per presentare una richiesta di finanziamento; il 30% più di 10 ore.  </w:t>
      </w:r>
    </w:p>
    <w:p w:rsidR="003240A0" w:rsidRDefault="0067090F">
      <w:pPr>
        <w:jc w:val="both"/>
        <w:rPr>
          <w:sz w:val="21"/>
          <w:szCs w:val="21"/>
        </w:rPr>
      </w:pPr>
      <w:r>
        <w:rPr>
          <w:i/>
          <w:sz w:val="21"/>
          <w:szCs w:val="21"/>
        </w:rPr>
        <w:t>“All’ente che si iscrive a Italia non profit, viene data la possibilità di inserire una sola volta i dati fondamentali - </w:t>
      </w:r>
      <w:r>
        <w:rPr>
          <w:sz w:val="21"/>
          <w:szCs w:val="21"/>
        </w:rPr>
        <w:t>continua Giulia Frangione</w:t>
      </w:r>
      <w:r>
        <w:rPr>
          <w:i/>
          <w:sz w:val="21"/>
          <w:szCs w:val="21"/>
        </w:rPr>
        <w:t xml:space="preserve"> - e di ritrovarli quando si intende accedere ad una nuova opportunità; sarà possibile effettuare il “login con Italia non profit” e attivare lo stesso automatismo di quando compiliamo iscrizioni online.  Per gli enti, non si tratta soltanto di meri dati anagrafici ma di informazioni fondamentali su bilanci, </w:t>
      </w:r>
      <w:proofErr w:type="spellStart"/>
      <w:r>
        <w:rPr>
          <w:i/>
          <w:sz w:val="21"/>
          <w:szCs w:val="21"/>
        </w:rPr>
        <w:t>governance</w:t>
      </w:r>
      <w:proofErr w:type="spellEnd"/>
      <w:r>
        <w:rPr>
          <w:i/>
          <w:sz w:val="21"/>
          <w:szCs w:val="21"/>
        </w:rPr>
        <w:t>, iscrizione ai registri, attività prevalenti, beneficiari, territo</w:t>
      </w:r>
      <w:r w:rsidR="0068379E">
        <w:rPr>
          <w:i/>
          <w:sz w:val="21"/>
          <w:szCs w:val="21"/>
        </w:rPr>
        <w:t>ri serviti e molto altro ancora</w:t>
      </w:r>
      <w:r>
        <w:rPr>
          <w:i/>
          <w:sz w:val="21"/>
          <w:szCs w:val="21"/>
        </w:rPr>
        <w:t>”</w:t>
      </w:r>
      <w:r w:rsidR="0068379E">
        <w:rPr>
          <w:i/>
          <w:sz w:val="21"/>
          <w:szCs w:val="21"/>
        </w:rPr>
        <w:t>.</w:t>
      </w:r>
    </w:p>
    <w:p w:rsidR="003240A0" w:rsidRDefault="0067090F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L’opportunità di dare </w:t>
      </w:r>
      <w:r>
        <w:rPr>
          <w:b/>
          <w:sz w:val="21"/>
          <w:szCs w:val="21"/>
        </w:rPr>
        <w:t>contorni definiti all’organizzazione</w:t>
      </w:r>
      <w:r>
        <w:rPr>
          <w:sz w:val="21"/>
          <w:szCs w:val="21"/>
        </w:rPr>
        <w:t xml:space="preserve"> si traduce in un vantaggio per gli enti, ma anche in maggiore sicurezza in merito alla completezza dei dati e consente alle Fondazioni di avere come interlocutori organizzazioni serie che dimostrano “dati alla mano” di saper gestire progetti complessi. I vantaggi di questa innovativa piattaforma riguardano anche le Fondazioni in quanto potranno avvalersi di un servizio di Italia non profit finalizzato alla miglior gestione del processo di erogazione</w:t>
      </w:r>
      <w:r w:rsidR="000E20DE">
        <w:rPr>
          <w:sz w:val="21"/>
          <w:szCs w:val="21"/>
        </w:rPr>
        <w:t xml:space="preserve"> (</w:t>
      </w:r>
      <w:hyperlink r:id="rId10" w:history="1">
        <w:r w:rsidR="000E20DE" w:rsidRPr="000857C6">
          <w:rPr>
            <w:rStyle w:val="Collegamentoipertestuale"/>
            <w:sz w:val="21"/>
            <w:szCs w:val="21"/>
          </w:rPr>
          <w:t>https://italianonprofit.it/servizi/filantropia/</w:t>
        </w:r>
      </w:hyperlink>
      <w:r w:rsidR="000E20DE">
        <w:rPr>
          <w:sz w:val="21"/>
          <w:szCs w:val="21"/>
        </w:rPr>
        <w:t>).</w:t>
      </w:r>
    </w:p>
    <w:p w:rsidR="000E20DE" w:rsidRDefault="0067090F">
      <w:pPr>
        <w:jc w:val="both"/>
        <w:rPr>
          <w:sz w:val="21"/>
          <w:szCs w:val="21"/>
        </w:rPr>
      </w:pPr>
      <w:proofErr w:type="spellStart"/>
      <w:r>
        <w:rPr>
          <w:b/>
          <w:sz w:val="21"/>
          <w:szCs w:val="21"/>
        </w:rPr>
        <w:t>Only</w:t>
      </w:r>
      <w:proofErr w:type="spellEnd"/>
      <w:r>
        <w:rPr>
          <w:b/>
          <w:sz w:val="21"/>
          <w:szCs w:val="21"/>
        </w:rPr>
        <w:t xml:space="preserve"> The Brave Foundation</w:t>
      </w:r>
      <w:r>
        <w:rPr>
          <w:sz w:val="21"/>
          <w:szCs w:val="21"/>
        </w:rPr>
        <w:t xml:space="preserve"> - la fondazione del gruppo OTB, creata 10 anni fa da Renzo Rosso, fondatore di Diesel - è tra i primi attori della filantropia istituzionale che ha scelto di offrire agli enti questa opportunità, lavorando su un doppio livello: da un lato ha indetto il bando </w:t>
      </w:r>
      <w:hyperlink r:id="rId11" w:history="1">
        <w:r w:rsidRPr="005560B8">
          <w:rPr>
            <w:rStyle w:val="Collegamentoipertestuale"/>
            <w:sz w:val="21"/>
            <w:szCs w:val="21"/>
          </w:rPr>
          <w:t xml:space="preserve">Brave </w:t>
        </w:r>
        <w:proofErr w:type="spellStart"/>
        <w:r w:rsidRPr="005560B8">
          <w:rPr>
            <w:rStyle w:val="Collegamentoipertestuale"/>
            <w:sz w:val="21"/>
            <w:szCs w:val="21"/>
          </w:rPr>
          <w:t>Actions</w:t>
        </w:r>
        <w:proofErr w:type="spellEnd"/>
        <w:r w:rsidRPr="005560B8">
          <w:rPr>
            <w:rStyle w:val="Collegamentoipertestuale"/>
            <w:sz w:val="21"/>
            <w:szCs w:val="21"/>
          </w:rPr>
          <w:t xml:space="preserve"> For A </w:t>
        </w:r>
        <w:proofErr w:type="spellStart"/>
        <w:r w:rsidRPr="005560B8">
          <w:rPr>
            <w:rStyle w:val="Collegamentoipertestuale"/>
            <w:sz w:val="21"/>
            <w:szCs w:val="21"/>
          </w:rPr>
          <w:t>Better</w:t>
        </w:r>
        <w:proofErr w:type="spellEnd"/>
        <w:r w:rsidRPr="005560B8">
          <w:rPr>
            <w:rStyle w:val="Collegamentoipertestuale"/>
            <w:sz w:val="21"/>
            <w:szCs w:val="21"/>
          </w:rPr>
          <w:t xml:space="preserve"> World </w:t>
        </w:r>
        <w:r w:rsidR="0068379E">
          <w:rPr>
            <w:rStyle w:val="Collegamentoipertestuale"/>
            <w:sz w:val="21"/>
            <w:szCs w:val="21"/>
          </w:rPr>
          <w:t xml:space="preserve">- </w:t>
        </w:r>
        <w:r w:rsidR="005560B8" w:rsidRPr="005560B8">
          <w:rPr>
            <w:rStyle w:val="Collegamentoipertestuale"/>
            <w:sz w:val="21"/>
            <w:szCs w:val="21"/>
          </w:rPr>
          <w:t>braveactions.italianonprofit.it</w:t>
        </w:r>
      </w:hyperlink>
      <w:r w:rsidR="005560B8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(200 mila euro a fondo perduto per progetti di inclusione all’estero), dall’altro, per </w:t>
      </w:r>
    </w:p>
    <w:p w:rsidR="000E20DE" w:rsidRDefault="000E20DE">
      <w:pPr>
        <w:jc w:val="both"/>
        <w:rPr>
          <w:sz w:val="21"/>
          <w:szCs w:val="21"/>
        </w:rPr>
      </w:pPr>
    </w:p>
    <w:p w:rsidR="000E20DE" w:rsidRDefault="000E20DE">
      <w:pPr>
        <w:jc w:val="both"/>
        <w:rPr>
          <w:sz w:val="21"/>
          <w:szCs w:val="21"/>
        </w:rPr>
      </w:pPr>
    </w:p>
    <w:p w:rsidR="00317AB3" w:rsidRDefault="00317AB3">
      <w:pPr>
        <w:jc w:val="both"/>
        <w:rPr>
          <w:sz w:val="21"/>
          <w:szCs w:val="21"/>
        </w:rPr>
      </w:pPr>
    </w:p>
    <w:p w:rsidR="003240A0" w:rsidRDefault="0067090F">
      <w:pPr>
        <w:jc w:val="both"/>
        <w:rPr>
          <w:sz w:val="21"/>
          <w:szCs w:val="21"/>
        </w:rPr>
      </w:pPr>
      <w:bookmarkStart w:id="0" w:name="_GoBack"/>
      <w:bookmarkEnd w:id="0"/>
      <w:r>
        <w:rPr>
          <w:sz w:val="21"/>
          <w:szCs w:val="21"/>
        </w:rPr>
        <w:t xml:space="preserve">farlo, ha utilizzato strumenti e procedure del tutto digitali in favore della trasparenza, accessibilità e data </w:t>
      </w:r>
      <w:proofErr w:type="spellStart"/>
      <w:r>
        <w:rPr>
          <w:sz w:val="21"/>
          <w:szCs w:val="21"/>
        </w:rPr>
        <w:t>integration</w:t>
      </w:r>
      <w:proofErr w:type="spellEnd"/>
      <w:r>
        <w:rPr>
          <w:sz w:val="21"/>
          <w:szCs w:val="21"/>
        </w:rPr>
        <w:t>.</w:t>
      </w:r>
    </w:p>
    <w:p w:rsidR="003240A0" w:rsidRDefault="0067090F">
      <w:pPr>
        <w:jc w:val="both"/>
        <w:rPr>
          <w:sz w:val="21"/>
          <w:szCs w:val="21"/>
        </w:rPr>
      </w:pPr>
      <w:r>
        <w:rPr>
          <w:sz w:val="21"/>
          <w:szCs w:val="21"/>
        </w:rPr>
        <w:t>Italia non profit lavora in questa direzione, al fine di creare una rete che a</w:t>
      </w:r>
      <w:r w:rsidR="0068379E">
        <w:rPr>
          <w:sz w:val="21"/>
          <w:szCs w:val="21"/>
        </w:rPr>
        <w:t>pra nuove opportunità al Terzo S</w:t>
      </w:r>
      <w:r>
        <w:rPr>
          <w:sz w:val="21"/>
          <w:szCs w:val="21"/>
        </w:rPr>
        <w:t xml:space="preserve">ettore: la digitalizzazione e il cambiamento che porta con </w:t>
      </w:r>
      <w:proofErr w:type="spellStart"/>
      <w:r>
        <w:rPr>
          <w:sz w:val="21"/>
          <w:szCs w:val="21"/>
        </w:rPr>
        <w:t>sè</w:t>
      </w:r>
      <w:proofErr w:type="spellEnd"/>
      <w:r>
        <w:rPr>
          <w:sz w:val="21"/>
          <w:szCs w:val="21"/>
        </w:rPr>
        <w:t xml:space="preserve"> la Riforma devono essere supportati da strumenti concreti perché non rimanga tutto sulle spalle degli enti. </w:t>
      </w:r>
    </w:p>
    <w:p w:rsidR="003240A0" w:rsidRDefault="003240A0">
      <w:pPr>
        <w:jc w:val="both"/>
      </w:pPr>
    </w:p>
    <w:p w:rsidR="0068379E" w:rsidRDefault="0068379E">
      <w:pPr>
        <w:jc w:val="both"/>
      </w:pPr>
    </w:p>
    <w:p w:rsidR="0068379E" w:rsidRDefault="0068379E">
      <w:pPr>
        <w:jc w:val="both"/>
      </w:pPr>
    </w:p>
    <w:p w:rsidR="0068379E" w:rsidRDefault="0068379E">
      <w:pPr>
        <w:jc w:val="both"/>
      </w:pPr>
    </w:p>
    <w:p w:rsidR="0068379E" w:rsidRDefault="0068379E">
      <w:pPr>
        <w:jc w:val="both"/>
      </w:pP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3240A0"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40A0" w:rsidRDefault="006709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dati di Italia non profit – Aggiornamento a ottobre 2018</w:t>
            </w:r>
          </w:p>
          <w:p w:rsidR="003240A0" w:rsidRDefault="0067090F">
            <w:pPr>
              <w:jc w:val="both"/>
              <w:rPr>
                <w:rFonts w:ascii="Avenir" w:eastAsia="Avenir" w:hAnsi="Avenir" w:cs="Avenir"/>
                <w:b/>
                <w:smallCaps/>
                <w:sz w:val="24"/>
                <w:szCs w:val="24"/>
              </w:rPr>
            </w:pPr>
            <w:r>
              <w:rPr>
                <w:rFonts w:ascii="Avenir" w:eastAsia="Avenir" w:hAnsi="Avenir" w:cs="Avenir"/>
                <w:b/>
                <w:smallCaps/>
                <w:sz w:val="24"/>
                <w:szCs w:val="24"/>
              </w:rPr>
              <w:t>Una community che cresce</w:t>
            </w:r>
          </w:p>
          <w:p w:rsidR="003240A0" w:rsidRDefault="0067090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color w:val="666666"/>
                <w:sz w:val="20"/>
                <w:szCs w:val="20"/>
              </w:rPr>
            </w:pPr>
            <w:r>
              <w:rPr>
                <w:b/>
                <w:color w:val="666666"/>
                <w:sz w:val="20"/>
                <w:szCs w:val="20"/>
              </w:rPr>
              <w:t>150 mila</w:t>
            </w:r>
            <w:r>
              <w:rPr>
                <w:color w:val="666666"/>
                <w:sz w:val="20"/>
                <w:szCs w:val="20"/>
              </w:rPr>
              <w:t xml:space="preserve"> sono gli enti nel motore di ricerca </w:t>
            </w:r>
          </w:p>
          <w:p w:rsidR="003240A0" w:rsidRDefault="0067090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color w:val="666666"/>
                <w:sz w:val="20"/>
                <w:szCs w:val="20"/>
              </w:rPr>
            </w:pPr>
            <w:r>
              <w:rPr>
                <w:b/>
                <w:color w:val="666666"/>
                <w:sz w:val="20"/>
                <w:szCs w:val="20"/>
              </w:rPr>
              <w:t xml:space="preserve">più di 2000 </w:t>
            </w:r>
            <w:r>
              <w:rPr>
                <w:color w:val="666666"/>
                <w:sz w:val="20"/>
                <w:szCs w:val="20"/>
              </w:rPr>
              <w:t>le organizzazioni registrate alla piattaforma</w:t>
            </w:r>
          </w:p>
          <w:p w:rsidR="003240A0" w:rsidRDefault="0067090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>Da gennaio 2018, i visitatori</w:t>
            </w:r>
            <w:r>
              <w:rPr>
                <w:b/>
                <w:color w:val="666666"/>
                <w:sz w:val="20"/>
                <w:szCs w:val="20"/>
              </w:rPr>
              <w:t xml:space="preserve"> </w:t>
            </w:r>
            <w:r>
              <w:rPr>
                <w:color w:val="666666"/>
                <w:sz w:val="20"/>
                <w:szCs w:val="20"/>
              </w:rPr>
              <w:t>della piattaforma sono stati</w:t>
            </w:r>
            <w:r>
              <w:rPr>
                <w:b/>
                <w:color w:val="666666"/>
                <w:sz w:val="20"/>
                <w:szCs w:val="20"/>
              </w:rPr>
              <w:t xml:space="preserve"> più di 160.000</w:t>
            </w:r>
          </w:p>
          <w:p w:rsidR="003240A0" w:rsidRDefault="0067090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>È presente anche la</w:t>
            </w:r>
            <w:r>
              <w:rPr>
                <w:b/>
                <w:color w:val="666666"/>
                <w:sz w:val="20"/>
                <w:szCs w:val="20"/>
              </w:rPr>
              <w:t xml:space="preserve"> mappatura della filantropia istituzionale </w:t>
            </w:r>
            <w:r>
              <w:rPr>
                <w:color w:val="666666"/>
                <w:sz w:val="20"/>
                <w:szCs w:val="20"/>
              </w:rPr>
              <w:t>che comprende tutte le 88 Fondazioni di Origine Bancaria, le 37 Fondazioni di Comunità e circa di 120 Fondazioni di Impresa e fondazioni di Famiglia.</w:t>
            </w:r>
          </w:p>
        </w:tc>
      </w:tr>
    </w:tbl>
    <w:p w:rsidR="003240A0" w:rsidRDefault="003240A0">
      <w:pPr>
        <w:jc w:val="both"/>
      </w:pPr>
    </w:p>
    <w:p w:rsidR="003240A0" w:rsidRDefault="003240A0">
      <w:pPr>
        <w:rPr>
          <w:b/>
          <w:color w:val="0432FF"/>
          <w:sz w:val="32"/>
          <w:szCs w:val="32"/>
        </w:rPr>
      </w:pPr>
    </w:p>
    <w:p w:rsidR="0068379E" w:rsidRDefault="0068379E">
      <w:pPr>
        <w:rPr>
          <w:b/>
          <w:color w:val="0432FF"/>
          <w:sz w:val="32"/>
          <w:szCs w:val="32"/>
        </w:rPr>
      </w:pPr>
    </w:p>
    <w:p w:rsidR="0068379E" w:rsidRDefault="0068379E">
      <w:pPr>
        <w:rPr>
          <w:b/>
          <w:color w:val="0432FF"/>
          <w:sz w:val="32"/>
          <w:szCs w:val="32"/>
        </w:rPr>
      </w:pPr>
    </w:p>
    <w:p w:rsidR="0068379E" w:rsidRDefault="0068379E">
      <w:pPr>
        <w:rPr>
          <w:b/>
          <w:color w:val="0432FF"/>
          <w:sz w:val="32"/>
          <w:szCs w:val="32"/>
        </w:rPr>
      </w:pPr>
    </w:p>
    <w:p w:rsidR="003240A0" w:rsidRDefault="0067090F">
      <w:pPr>
        <w:rPr>
          <w:b/>
          <w:sz w:val="21"/>
          <w:szCs w:val="21"/>
        </w:rPr>
      </w:pPr>
      <w:r>
        <w:rPr>
          <w:b/>
          <w:sz w:val="21"/>
          <w:szCs w:val="21"/>
        </w:rPr>
        <w:t>Ufficio stampa Italia non Profit</w:t>
      </w:r>
    </w:p>
    <w:p w:rsidR="003240A0" w:rsidRDefault="0067090F">
      <w:pPr>
        <w:rPr>
          <w:sz w:val="21"/>
          <w:szCs w:val="21"/>
        </w:rPr>
      </w:pPr>
      <w:r>
        <w:rPr>
          <w:sz w:val="21"/>
          <w:szCs w:val="21"/>
        </w:rPr>
        <w:t>Edoardo Caprino – e.caprino@bovindo.it – 339 5933457</w:t>
      </w:r>
    </w:p>
    <w:p w:rsidR="003240A0" w:rsidRDefault="0067090F">
      <w:pPr>
        <w:rPr>
          <w:b/>
          <w:color w:val="0432FF"/>
          <w:sz w:val="32"/>
          <w:szCs w:val="32"/>
        </w:rPr>
      </w:pPr>
      <w:r>
        <w:rPr>
          <w:sz w:val="21"/>
          <w:szCs w:val="21"/>
        </w:rPr>
        <w:t>Giulia Fabbri – g.fabbri@bovindo.it – 345 6156164</w:t>
      </w:r>
    </w:p>
    <w:p w:rsidR="003240A0" w:rsidRDefault="003240A0">
      <w:pPr>
        <w:rPr>
          <w:b/>
          <w:color w:val="0432FF"/>
          <w:sz w:val="32"/>
          <w:szCs w:val="32"/>
        </w:rPr>
      </w:pPr>
    </w:p>
    <w:p w:rsidR="003240A0" w:rsidRDefault="003240A0">
      <w:pPr>
        <w:spacing w:after="0" w:line="240" w:lineRule="auto"/>
      </w:pPr>
    </w:p>
    <w:p w:rsidR="003240A0" w:rsidRDefault="003240A0">
      <w:pPr>
        <w:spacing w:after="0" w:line="240" w:lineRule="auto"/>
      </w:pPr>
    </w:p>
    <w:p w:rsidR="003240A0" w:rsidRDefault="003240A0">
      <w:pPr>
        <w:spacing w:after="0" w:line="240" w:lineRule="auto"/>
      </w:pPr>
    </w:p>
    <w:p w:rsidR="003240A0" w:rsidRDefault="003240A0">
      <w:pPr>
        <w:spacing w:after="0" w:line="240" w:lineRule="auto"/>
        <w:jc w:val="both"/>
        <w:rPr>
          <w:strike/>
        </w:rPr>
      </w:pPr>
    </w:p>
    <w:p w:rsidR="003240A0" w:rsidRDefault="003240A0">
      <w:pPr>
        <w:spacing w:after="0" w:line="240" w:lineRule="auto"/>
        <w:jc w:val="both"/>
        <w:rPr>
          <w:strike/>
        </w:rPr>
      </w:pPr>
    </w:p>
    <w:sectPr w:rsidR="003240A0">
      <w:headerReference w:type="default" r:id="rId12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D34" w:rsidRDefault="00E62D34">
      <w:pPr>
        <w:spacing w:after="0" w:line="240" w:lineRule="auto"/>
      </w:pPr>
      <w:r>
        <w:separator/>
      </w:r>
    </w:p>
  </w:endnote>
  <w:endnote w:type="continuationSeparator" w:id="0">
    <w:p w:rsidR="00E62D34" w:rsidRDefault="00E62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venir">
    <w:altName w:val="Calibri"/>
    <w:panose1 w:val="020005030200000200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D34" w:rsidRDefault="00E62D34">
      <w:pPr>
        <w:spacing w:after="0" w:line="240" w:lineRule="auto"/>
      </w:pPr>
      <w:r>
        <w:separator/>
      </w:r>
    </w:p>
  </w:footnote>
  <w:footnote w:type="continuationSeparator" w:id="0">
    <w:p w:rsidR="00E62D34" w:rsidRDefault="00E62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0A0" w:rsidRDefault="0067090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2047875</wp:posOffset>
          </wp:positionH>
          <wp:positionV relativeFrom="paragraph">
            <wp:posOffset>-378459</wp:posOffset>
          </wp:positionV>
          <wp:extent cx="1818322" cy="832267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8322" cy="8322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12E12"/>
    <w:multiLevelType w:val="multilevel"/>
    <w:tmpl w:val="6E423A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4A736B47"/>
    <w:multiLevelType w:val="multilevel"/>
    <w:tmpl w:val="8E42FE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40A0"/>
    <w:rsid w:val="000E20DE"/>
    <w:rsid w:val="00317AB3"/>
    <w:rsid w:val="003240A0"/>
    <w:rsid w:val="005560B8"/>
    <w:rsid w:val="0067090F"/>
    <w:rsid w:val="0068379E"/>
    <w:rsid w:val="00C165C8"/>
    <w:rsid w:val="00DA28EB"/>
    <w:rsid w:val="00E6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F771"/>
  <w15:docId w15:val="{0C5821CF-421C-114D-B234-738D5C9F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560B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560B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37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alianonprofit.it/servizi/filantropi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talianonprofit.it/passaporto-digital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raveactions.italianonprofit.it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talianonprofit.it/servizi/filantrop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alianonprofit.it/passaporto-digitale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Evelina Massanova</cp:lastModifiedBy>
  <cp:revision>7</cp:revision>
  <dcterms:created xsi:type="dcterms:W3CDTF">2018-10-09T07:47:00Z</dcterms:created>
  <dcterms:modified xsi:type="dcterms:W3CDTF">2018-10-09T15:32:00Z</dcterms:modified>
</cp:coreProperties>
</file>